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07" w:tblpY="886"/>
        <w:tblW w:w="10490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ook w:val="01E0"/>
      </w:tblPr>
      <w:tblGrid>
        <w:gridCol w:w="1332"/>
        <w:gridCol w:w="9158"/>
      </w:tblGrid>
      <w:tr>
        <w:trPr>
          <w:trHeight w:val="2173"/>
        </w:trPr>
        <w:tc>
          <w:tcPr>
            <w:tcW w:w="1332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>
            <w:pPr>
              <w:jc w:val="center"/>
              <w:rPr>
                <w:sz w:val="28"/>
                <w:lang w:val="ru-RU"/>
              </w:rPr>
            </w:pPr>
          </w:p>
          <w:p>
            <w:pPr>
              <w:jc w:val="center"/>
              <w:rPr>
                <w:sz w:val="28"/>
                <w:lang w:val="ru-RU"/>
              </w:rPr>
            </w:pPr>
          </w:p>
          <w:p>
            <w:pPr>
              <w:rPr>
                <w:lang w:val="ru-RU"/>
              </w:rPr>
            </w:pPr>
          </w:p>
        </w:tc>
        <w:tc>
          <w:tcPr>
            <w:tcW w:w="915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>
            <w:pPr>
              <w:ind w:left="-213"/>
              <w:jc w:val="center"/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В</w:t>
            </w:r>
            <w:r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Е</w:t>
            </w:r>
            <w:r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С</w:t>
            </w:r>
            <w:r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Т</w:t>
            </w:r>
            <w:r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И</w:t>
            </w:r>
          </w:p>
          <w:p>
            <w:pPr>
              <w:ind w:left="176"/>
              <w:jc w:val="center"/>
              <w:rPr>
                <w:b/>
                <w:i/>
                <w:sz w:val="80"/>
                <w:szCs w:val="8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Убинского сельсовета</w:t>
            </w:r>
          </w:p>
        </w:tc>
      </w:tr>
      <w:tr>
        <w:trPr>
          <w:trHeight w:val="508"/>
        </w:trPr>
        <w:tc>
          <w:tcPr>
            <w:tcW w:w="10490" w:type="dxa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>
            <w:pPr>
              <w:jc w:val="center"/>
              <w:rPr>
                <w:b/>
                <w:sz w:val="2"/>
                <w:szCs w:val="2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Периодическое печатное издание Совета депутатов и администрации Убинского сельсовета</w:t>
            </w:r>
          </w:p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Убинского района Новосибирской области</w:t>
            </w:r>
          </w:p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05 апреля 2019 г. № 10 (140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>
            <w:pPr>
              <w:ind w:left="-90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>
      <w:pPr>
        <w:ind w:firstLine="709"/>
        <w:jc w:val="both"/>
        <w:rPr>
          <w:b/>
          <w:sz w:val="18"/>
          <w:szCs w:val="18"/>
          <w:lang w:val="ru-RU"/>
        </w:rPr>
      </w:pPr>
    </w:p>
    <w:p>
      <w:pPr>
        <w:ind w:firstLine="709"/>
        <w:jc w:val="center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Работники</w:t>
      </w:r>
      <w:proofErr w:type="spellEnd"/>
      <w:r>
        <w:rPr>
          <w:b/>
          <w:sz w:val="18"/>
          <w:szCs w:val="18"/>
        </w:rPr>
        <w:t xml:space="preserve"> предпенсионного </w:t>
      </w:r>
      <w:proofErr w:type="spellStart"/>
      <w:r>
        <w:rPr>
          <w:b/>
          <w:sz w:val="18"/>
          <w:szCs w:val="18"/>
        </w:rPr>
        <w:t>возраста</w:t>
      </w:r>
      <w:proofErr w:type="spellEnd"/>
      <w:r>
        <w:rPr>
          <w:b/>
          <w:sz w:val="18"/>
          <w:szCs w:val="18"/>
        </w:rPr>
        <w:t>.</w:t>
      </w:r>
      <w:proofErr w:type="gramEnd"/>
    </w:p>
    <w:p>
      <w:pPr>
        <w:ind w:firstLine="709"/>
        <w:jc w:val="both"/>
        <w:rPr>
          <w:b/>
          <w:sz w:val="18"/>
          <w:szCs w:val="18"/>
        </w:rPr>
      </w:pP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 2019 года под предпенсионным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С указанного года женщины выходят на пенсию с 60 лет, а мужчины с 65 лет. При </w:t>
      </w:r>
      <w:proofErr w:type="gramStart"/>
      <w:r>
        <w:rPr>
          <w:sz w:val="18"/>
          <w:szCs w:val="18"/>
          <w:lang w:val="ru-RU"/>
        </w:rPr>
        <w:t>этом</w:t>
      </w:r>
      <w:proofErr w:type="gramEnd"/>
      <w:r>
        <w:rPr>
          <w:sz w:val="18"/>
          <w:szCs w:val="18"/>
          <w:lang w:val="ru-RU"/>
        </w:rPr>
        <w:t xml:space="preserve"> установлен так называемый переходный период - 2019 - 2027 гг. В течение первых двух лет этого периода можно выйти на пенсию по старости на полгода раньше. Такое право есть у работников, которые </w:t>
      </w:r>
      <w:proofErr w:type="gramStart"/>
      <w:r>
        <w:rPr>
          <w:sz w:val="18"/>
          <w:szCs w:val="18"/>
          <w:lang w:val="ru-RU"/>
        </w:rPr>
        <w:t>достигнут пенсионного возраста по новому законодательству либо приобретут</w:t>
      </w:r>
      <w:proofErr w:type="gramEnd"/>
      <w:r>
        <w:rPr>
          <w:sz w:val="18"/>
          <w:szCs w:val="18"/>
          <w:lang w:val="ru-RU"/>
        </w:rPr>
        <w:t xml:space="preserve"> стаж для досрочного назначения пенсии (п. 3 ст. 10 Федерального закона от 03.10.2018 № 350-ФЗ «О внесении изменений в отдельные законодательные акты Российской Федерации по вопросам назначения и выплаты пенсий»).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Появились у данной категории работников и льготы, так, по заявлению работников их необходимо освобождать от работы на два рабочих дня раз в год для прохождения диспансеризации. За эти дни им необходимо выплатить средний заработок, а также сохранить место работы.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Конкретные дни освобождения от работы согласовываются с работодателем (гарантии установлены </w:t>
      </w:r>
      <w:proofErr w:type="gramStart"/>
      <w:r>
        <w:rPr>
          <w:sz w:val="18"/>
          <w:szCs w:val="18"/>
          <w:lang w:val="ru-RU"/>
        </w:rPr>
        <w:t>ч</w:t>
      </w:r>
      <w:proofErr w:type="gramEnd"/>
      <w:r>
        <w:rPr>
          <w:sz w:val="18"/>
          <w:szCs w:val="18"/>
          <w:lang w:val="ru-RU"/>
        </w:rPr>
        <w:t>. 2 ст. 185.1 ТК РФ).</w:t>
      </w:r>
    </w:p>
    <w:p>
      <w:pPr>
        <w:ind w:firstLine="709"/>
        <w:jc w:val="both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Ответственность за нарушение трудовых прав работников предпенсионного возраста.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При нарушении общего порядка увольнения, </w:t>
      </w:r>
      <w:proofErr w:type="gramStart"/>
      <w:r>
        <w:rPr>
          <w:sz w:val="18"/>
          <w:szCs w:val="18"/>
          <w:lang w:val="ru-RU"/>
        </w:rPr>
        <w:t>например</w:t>
      </w:r>
      <w:proofErr w:type="gramEnd"/>
      <w:r>
        <w:rPr>
          <w:sz w:val="18"/>
          <w:szCs w:val="18"/>
          <w:lang w:val="ru-RU"/>
        </w:rPr>
        <w:t xml:space="preserve"> при невыплате или нарушении срока выплат</w:t>
      </w:r>
      <w:bookmarkStart w:id="0" w:name="_GoBack"/>
      <w:bookmarkEnd w:id="0"/>
      <w:r>
        <w:rPr>
          <w:sz w:val="18"/>
          <w:szCs w:val="18"/>
          <w:lang w:val="ru-RU"/>
        </w:rPr>
        <w:t>ы работнику сумм, положенных при увольнении, работодатель может быть привлечен к административной ответственности по ст. 5.27 КоАП РФ (если эти действия не содержат уголовно наказуемого деяния в соответствии со ст. 145.1 УК РФ).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За необоснованное увольнение работников в связи с достижением предпенсионного возраста предусмотрена уголовная ответственность по ст. 144.1 УК РФ. Данная ответственность также наступает, если работодатель вынудил работника подать заявление об </w:t>
      </w:r>
      <w:proofErr w:type="gramStart"/>
      <w:r>
        <w:rPr>
          <w:sz w:val="18"/>
          <w:szCs w:val="18"/>
          <w:lang w:val="ru-RU"/>
        </w:rPr>
        <w:t>увольнении</w:t>
      </w:r>
      <w:proofErr w:type="gramEnd"/>
      <w:r>
        <w:rPr>
          <w:sz w:val="18"/>
          <w:szCs w:val="18"/>
          <w:lang w:val="ru-RU"/>
        </w:rPr>
        <w:t xml:space="preserve"> по собственному желанию в связи с предпенсионным возрастом и уволил его по п. 3 ч. 1 ст. 77 ТК РФ (п. 16 Постановления Пленума Верховного Суда РФ от 25.12.2018 № 46). Кроме того, аналогичная ответственность предусмотрена за необоснованный отказ в приеме на работу такой категории граждан.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 случае наступления уголовной ответственности по ст. 144.1 УК РФ руководителю организации или работнику, уполномоченному принимать и увольнять сотрудников, могут назначить штраф в размере до 200 тыс. руб. или в размере заработной платы (иного дохода) осужденного за период до 18 месяцев; обязательные работы на срок до 360 ч.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Запрет на необоснованный отказ в приеме на работу, в том числе из-за возраста соискателя, установлен ст. 64 ТК РФ. Работодатель обязан сообщить причину отказа в письменной форме, если соискатель этого потребует. Ответ необходимо дать в течение 7 рабочих дней (</w:t>
      </w:r>
      <w:proofErr w:type="gramStart"/>
      <w:r>
        <w:rPr>
          <w:sz w:val="18"/>
          <w:szCs w:val="18"/>
          <w:lang w:val="ru-RU"/>
        </w:rPr>
        <w:t>ч</w:t>
      </w:r>
      <w:proofErr w:type="gramEnd"/>
      <w:r>
        <w:rPr>
          <w:sz w:val="18"/>
          <w:szCs w:val="18"/>
          <w:lang w:val="ru-RU"/>
        </w:rPr>
        <w:t>. 5 ст. 64 ТК РФ).</w:t>
      </w:r>
    </w:p>
    <w:p>
      <w:pPr>
        <w:jc w:val="center"/>
        <w:rPr>
          <w:sz w:val="18"/>
          <w:szCs w:val="18"/>
          <w:lang w:val="ru-RU"/>
        </w:rPr>
      </w:pPr>
    </w:p>
    <w:p>
      <w:pPr>
        <w:ind w:firstLine="709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 возмещении причиненного вреда при оказании коммунальных услуг ненадлежащего качества.</w:t>
      </w:r>
    </w:p>
    <w:p>
      <w:pPr>
        <w:ind w:firstLine="709"/>
        <w:jc w:val="both"/>
        <w:rPr>
          <w:sz w:val="18"/>
          <w:szCs w:val="18"/>
          <w:lang w:val="ru-RU"/>
        </w:rPr>
      </w:pP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регулирует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порядок контроля качества предоставления коммунальных услуг, порядок изменения размера платы за коммунальные услуги при предоставлении коммунальных услуг ненадлежащего качества</w:t>
      </w:r>
      <w:proofErr w:type="gramEnd"/>
      <w:r>
        <w:rPr>
          <w:sz w:val="18"/>
          <w:szCs w:val="18"/>
          <w:lang w:val="ru-RU"/>
        </w:rPr>
        <w:t xml:space="preserve">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Нередко </w:t>
      </w:r>
      <w:proofErr w:type="gramStart"/>
      <w:r>
        <w:rPr>
          <w:sz w:val="18"/>
          <w:szCs w:val="18"/>
          <w:lang w:val="ru-RU"/>
        </w:rPr>
        <w:t>в следствии</w:t>
      </w:r>
      <w:proofErr w:type="gramEnd"/>
      <w:r>
        <w:rPr>
          <w:sz w:val="18"/>
          <w:szCs w:val="18"/>
          <w:lang w:val="ru-RU"/>
        </w:rPr>
        <w:t xml:space="preserve"> аварий </w:t>
      </w:r>
      <w:proofErr w:type="spellStart"/>
      <w:r>
        <w:rPr>
          <w:sz w:val="18"/>
          <w:szCs w:val="18"/>
          <w:lang w:val="ru-RU"/>
        </w:rPr>
        <w:t>ресурсоснабжающие</w:t>
      </w:r>
      <w:proofErr w:type="spellEnd"/>
      <w:r>
        <w:rPr>
          <w:sz w:val="18"/>
          <w:szCs w:val="18"/>
          <w:lang w:val="ru-RU"/>
        </w:rPr>
        <w:t xml:space="preserve"> и сетевые компании производят приостановку оказания коммунальных услуг, что может привести к причинению вреда абонентам.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В таких случаях законодательством предусмотрено, что </w:t>
      </w:r>
      <w:proofErr w:type="spellStart"/>
      <w:r>
        <w:rPr>
          <w:sz w:val="18"/>
          <w:szCs w:val="18"/>
          <w:lang w:val="ru-RU"/>
        </w:rPr>
        <w:t>ресурсоснабжающие</w:t>
      </w:r>
      <w:proofErr w:type="spellEnd"/>
      <w:r>
        <w:rPr>
          <w:sz w:val="18"/>
          <w:szCs w:val="18"/>
          <w:lang w:val="ru-RU"/>
        </w:rPr>
        <w:t xml:space="preserve"> и сетевые компании несут установленную законодательством Российской Федерации административную, уголовную или гражданско-правовую ответственность за нарушение качества предоставления потребителю коммунальных услуг; возмещают вред, причиненный жизни, здоровью и имуществу потребителя вследствие нарушения качества предоставления </w:t>
      </w:r>
      <w:r>
        <w:rPr>
          <w:sz w:val="18"/>
          <w:szCs w:val="18"/>
          <w:lang w:val="ru-RU"/>
        </w:rPr>
        <w:lastRenderedPageBreak/>
        <w:t xml:space="preserve">коммунальных услуг, вследствие </w:t>
      </w:r>
      <w:proofErr w:type="spellStart"/>
      <w:r>
        <w:rPr>
          <w:sz w:val="18"/>
          <w:szCs w:val="18"/>
          <w:lang w:val="ru-RU"/>
        </w:rPr>
        <w:t>непредоставления</w:t>
      </w:r>
      <w:proofErr w:type="spellEnd"/>
      <w:r>
        <w:rPr>
          <w:sz w:val="18"/>
          <w:szCs w:val="18"/>
          <w:lang w:val="ru-RU"/>
        </w:rPr>
        <w:t xml:space="preserve"> потребителю полной и достоверной информации о предоставляемых коммунальных услугах;</w:t>
      </w:r>
      <w:proofErr w:type="gramEnd"/>
      <w:r>
        <w:rPr>
          <w:sz w:val="18"/>
          <w:szCs w:val="18"/>
          <w:lang w:val="ru-RU"/>
        </w:rPr>
        <w:t xml:space="preserve"> возмещают убытки, причиненные потребителю в результате нарушения исполнителем прав потребителей, в том числе в результате договора, содержащего условия, ущемляющие права потребителя; а также компенсируют моральный вред, причиненный потребителю вследствие нарушения исполнителем прав потребителей.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>В случае причинения исполнителем ущерба жизни, здоровью и (или) имуществу потребителя, общему имуществу собственников помещений в многоквартирном доме исполнитель и потребитель (или его представитель) составляют и подписывают акт о причинении ущерба жизни, здоровью и имуществу потребителя,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  <w:proofErr w:type="gramEnd"/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Указанный акт должен быть составлен исполнителем и подписан им не позднее 12 часов с момента обращения потребителя в аварийно-диспетчерскую службу. При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 помимо исполнителя 2 незаинтересованными лицами. Акт составляется в 2 экземплярах, один из которых передается потребителю (или его представителю), второй - остается у исполнителя.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Кроме того, </w:t>
      </w:r>
      <w:proofErr w:type="spellStart"/>
      <w:r>
        <w:rPr>
          <w:sz w:val="18"/>
          <w:szCs w:val="18"/>
          <w:lang w:val="ru-RU"/>
        </w:rPr>
        <w:t>ресурсоснабжающие</w:t>
      </w:r>
      <w:proofErr w:type="spellEnd"/>
      <w:r>
        <w:rPr>
          <w:sz w:val="18"/>
          <w:szCs w:val="18"/>
          <w:lang w:val="ru-RU"/>
        </w:rPr>
        <w:t xml:space="preserve"> и сетевые компании,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(или) с перерывами, превышающими установленную продолжительность, обязаны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  <w:proofErr w:type="gramEnd"/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При </w:t>
      </w:r>
      <w:proofErr w:type="gramStart"/>
      <w:r>
        <w:rPr>
          <w:sz w:val="18"/>
          <w:szCs w:val="18"/>
          <w:lang w:val="ru-RU"/>
        </w:rPr>
        <w:t>этом</w:t>
      </w:r>
      <w:proofErr w:type="gramEnd"/>
      <w:r>
        <w:rPr>
          <w:sz w:val="18"/>
          <w:szCs w:val="18"/>
          <w:lang w:val="ru-RU"/>
        </w:rPr>
        <w:t xml:space="preserve"> потребитель вправе требовать с исполнителя уплаты неустоек (штрафов, пеней) в размере, указанном в Законе Российской Федерации «О защите прав потребителей».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Право требовать возмещения вреда, причиненного вследствие нарушения качества предоставления коммунальных услуг, признается за любым потерпевшим независимо от того, состоял он в договорных отношениях с исполнителем или нет.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Вред, причиненный жизни, здоровью или имуществу потребителя вследствие нарушения качества предоставления коммунальных услуг, подлежит возмещению в течение 10 лет со дня предоставления такой услуги. При </w:t>
      </w:r>
      <w:proofErr w:type="gramStart"/>
      <w:r>
        <w:rPr>
          <w:sz w:val="18"/>
          <w:szCs w:val="18"/>
          <w:lang w:val="ru-RU"/>
        </w:rPr>
        <w:t>этом</w:t>
      </w:r>
      <w:proofErr w:type="gramEnd"/>
      <w:r>
        <w:rPr>
          <w:sz w:val="18"/>
          <w:szCs w:val="18"/>
          <w:lang w:val="ru-RU"/>
        </w:rPr>
        <w:t xml:space="preserve">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>
      <w:pPr>
        <w:rPr>
          <w:sz w:val="18"/>
          <w:szCs w:val="18"/>
          <w:lang w:val="ru-RU"/>
        </w:rPr>
      </w:pPr>
    </w:p>
    <w:p>
      <w:pPr>
        <w:ind w:firstLine="709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Организации независимо от форм собственности обязаны разрабатывать и принимать меры по предупреждению коррупции.</w:t>
      </w:r>
    </w:p>
    <w:p>
      <w:pPr>
        <w:ind w:firstLine="709"/>
        <w:jc w:val="both"/>
        <w:rPr>
          <w:b/>
          <w:sz w:val="18"/>
          <w:szCs w:val="18"/>
          <w:lang w:val="ru-RU"/>
        </w:rPr>
      </w:pP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 соответствии со статьей 13.3 Федерального закона от 25.12.2008 № 273-ФЗ «О противодействии коррупции» (далее – Закон о противодействии коррупции) организации обязаны разрабатывать и принимать меры по предупреждению коррупции.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>Меры по предупреждению коррупции, принимаемые в организации, могут включать: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</w:t>
      </w:r>
      <w:proofErr w:type="gramEnd"/>
      <w:r>
        <w:rPr>
          <w:sz w:val="18"/>
          <w:szCs w:val="18"/>
          <w:lang w:val="ru-RU"/>
        </w:rPr>
        <w:t xml:space="preserve"> недопущение составления неофициальной отчетности и использования </w:t>
      </w:r>
      <w:proofErr w:type="gramStart"/>
      <w:r>
        <w:rPr>
          <w:sz w:val="18"/>
          <w:szCs w:val="18"/>
          <w:lang w:val="ru-RU"/>
        </w:rPr>
        <w:t>поддельных</w:t>
      </w:r>
      <w:proofErr w:type="gramEnd"/>
      <w:r>
        <w:rPr>
          <w:sz w:val="18"/>
          <w:szCs w:val="18"/>
          <w:lang w:val="ru-RU"/>
        </w:rPr>
        <w:t xml:space="preserve"> документов.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Указом Президента Российской Федерации от 29.06.2018 № 378 утвержден Национальный план противодействия коррупции на 2018-2020 годы, поставлены задачи на ближайшие годы, которые необходимо решить в целях противодействия коррупции, и определены основные мероприятия, направленные на решение указанных задач в организациях.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Национальный план противодействия коррупции определяет основной задачей реализацию требований статьи 13.3 Закона о противодействии коррупции, касающейся обязанности организаций принимать меры по предупреждению и противодействию коррупции, предусматривает формирование системы государственного контроля за реализацией антикоррупционной политики в негосударственном секторе.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коррупции, утвержденные 08.11.2013 года (далее – Методические рекомендации).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>Методические рекомендации предусматривают проведение работы по профилактике коррупционных и иных правонарушений для любых организаций, независимо от форм собственности, организационно-правовых форм, отраслевой принадлежности и других обстоятельств, а также предусматривают обязательное требование по разработке и принятию документа, который включает в себя комплекс взаимосвязанных принципов, процедур и конкретных мероприятий, а также иных локальных нормативных актов и методических материалов, направленных на профилактику и противодействие</w:t>
      </w:r>
      <w:proofErr w:type="gramEnd"/>
      <w:r>
        <w:rPr>
          <w:sz w:val="18"/>
          <w:szCs w:val="18"/>
          <w:lang w:val="ru-RU"/>
        </w:rPr>
        <w:t xml:space="preserve"> коррупционным правонарушениям в деятельности организации.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Прокуратурой Убинского района на постоянной основе проводятся проверки полноты и </w:t>
      </w:r>
      <w:proofErr w:type="gramStart"/>
      <w:r>
        <w:rPr>
          <w:sz w:val="18"/>
          <w:szCs w:val="18"/>
          <w:lang w:val="ru-RU"/>
        </w:rPr>
        <w:t>эффективности</w:t>
      </w:r>
      <w:proofErr w:type="gramEnd"/>
      <w:r>
        <w:rPr>
          <w:sz w:val="18"/>
          <w:szCs w:val="18"/>
          <w:lang w:val="ru-RU"/>
        </w:rPr>
        <w:t xml:space="preserve"> принимаемых организациями мер по предупреждению коррупции, в результате которых установлено, что организациями  в большинстве случаев предусмотренная ст. 13.3 Закона о противодействии коррупции обязанность исполняется ненадлежащим образом, меры по предупреждению коррупции не принимаются либо принимаются не в </w:t>
      </w:r>
      <w:r>
        <w:rPr>
          <w:sz w:val="18"/>
          <w:szCs w:val="18"/>
          <w:lang w:val="ru-RU"/>
        </w:rPr>
        <w:lastRenderedPageBreak/>
        <w:t>полном объеме, мероприятия, предусмотренные Методическими рекомендациями, реализуются в недостаточной мере и не на системной основе.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 числу типичных нарушений можно отнести </w:t>
      </w:r>
      <w:proofErr w:type="gramStart"/>
      <w:r>
        <w:rPr>
          <w:sz w:val="18"/>
          <w:szCs w:val="18"/>
          <w:lang w:val="ru-RU"/>
        </w:rPr>
        <w:t>следующие</w:t>
      </w:r>
      <w:proofErr w:type="gramEnd"/>
      <w:r>
        <w:rPr>
          <w:sz w:val="18"/>
          <w:szCs w:val="18"/>
          <w:lang w:val="ru-RU"/>
        </w:rPr>
        <w:t>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Большинство мероприятий, предусмотренных локальными актами, носят декларативный характер, предусмотренные такими актами обязанности не могут быть исполнены ввиду отсутствия механизма их реализации.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Например, положением об антикоррупционной политике одного из учреждений в перечень </w:t>
      </w:r>
      <w:proofErr w:type="spellStart"/>
      <w:r>
        <w:rPr>
          <w:sz w:val="18"/>
          <w:szCs w:val="18"/>
          <w:lang w:val="ru-RU"/>
        </w:rPr>
        <w:t>антикоррупционных</w:t>
      </w:r>
      <w:proofErr w:type="spellEnd"/>
      <w:r>
        <w:rPr>
          <w:sz w:val="18"/>
          <w:szCs w:val="18"/>
          <w:lang w:val="ru-RU"/>
        </w:rPr>
        <w:t xml:space="preserve"> мероприятий включены разработка и принятие Положения о конфликте интересов, которое в течение длительного времени не разрабатывалось и не принято, а нормы иных локальных актов учреждения не регламентируют в достаточной степени механизм информирования работниками работодателя о наличии личной заинтересованности при исполнении должностных обязанностей, о возникновении (возможности возникновения) конфликта интересов, порядок</w:t>
      </w:r>
      <w:proofErr w:type="gramEnd"/>
      <w:r>
        <w:rPr>
          <w:sz w:val="18"/>
          <w:szCs w:val="18"/>
          <w:lang w:val="ru-RU"/>
        </w:rPr>
        <w:t xml:space="preserve"> урегулирования возникшего у работника учреждения конфликта интересов.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Такая регламентация должна предусматривать сроки, способы направления уведомления в соответствующую комиссию, порядок учета таких уведомлений, должностных лиц, ответственных за прием уведомлений.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При </w:t>
      </w:r>
      <w:proofErr w:type="gramStart"/>
      <w:r>
        <w:rPr>
          <w:sz w:val="18"/>
          <w:szCs w:val="18"/>
          <w:lang w:val="ru-RU"/>
        </w:rPr>
        <w:t>создании</w:t>
      </w:r>
      <w:proofErr w:type="gramEnd"/>
      <w:r>
        <w:rPr>
          <w:sz w:val="18"/>
          <w:szCs w:val="18"/>
          <w:lang w:val="ru-RU"/>
        </w:rPr>
        <w:t xml:space="preserve"> комиссий по соблюдению требований к служебному поведению сотрудников и противодействию коррупции зачастую не определен порядок рассмотрения такой комиссией сообщений работников о наличии личной заинтересованности, о возможности возникновения конфликта интересов при исполнении должностных обязанностей.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Имеет место толкование понятия «коррупция», которое не соответствует понятию, закрепленному в ст. 10 Закона о противодействии коррупции.</w:t>
      </w:r>
    </w:p>
    <w:p>
      <w:pPr>
        <w:ind w:firstLine="709"/>
        <w:jc w:val="both"/>
        <w:rPr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Встречаются случаи, когда нельзя признать достаточным объем предусмотренных в трудовых договорах </w:t>
      </w:r>
      <w:proofErr w:type="spellStart"/>
      <w:r>
        <w:rPr>
          <w:sz w:val="18"/>
          <w:szCs w:val="18"/>
          <w:lang w:val="ru-RU"/>
        </w:rPr>
        <w:t>антикоррупционных</w:t>
      </w:r>
      <w:proofErr w:type="spellEnd"/>
      <w:r>
        <w:rPr>
          <w:sz w:val="18"/>
          <w:szCs w:val="18"/>
          <w:lang w:val="ru-RU"/>
        </w:rPr>
        <w:t xml:space="preserve"> обязанностей, поскольку ими не установлена обязанность работников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интересов, а также уведомлять работодателя обо всех случаях обращения к ним в целях склонения</w:t>
      </w:r>
      <w:proofErr w:type="gramEnd"/>
      <w:r>
        <w:rPr>
          <w:sz w:val="18"/>
          <w:szCs w:val="18"/>
          <w:lang w:val="ru-RU"/>
        </w:rPr>
        <w:t xml:space="preserve"> к совершению коррупционных правонарушений.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Планы мероприятий по противодействию коррупции не содержат сроков исполнения, кроме этого, большинство мероприятий относятся к текущей деятельности учреждения, что позволяет сделать вывод о том, что конкретные мероприятия по противодействию коррупции не запланированы и не проводятся.</w:t>
      </w:r>
    </w:p>
    <w:p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Выявленные нарушения законодательства о противодействии коррупции создают препятствия в обеспечении достижения поставленных государством задач по предотвращению коррупционных правонарушений, а причинами и условиями, которые способствовали нарушению законодательства, являются ненадлежащее исполнение своих обязанностей работниками организаций, в </w:t>
      </w:r>
      <w:proofErr w:type="gramStart"/>
      <w:r>
        <w:rPr>
          <w:sz w:val="18"/>
          <w:szCs w:val="18"/>
          <w:lang w:val="ru-RU"/>
        </w:rPr>
        <w:t>связи</w:t>
      </w:r>
      <w:proofErr w:type="gramEnd"/>
      <w:r>
        <w:rPr>
          <w:sz w:val="18"/>
          <w:szCs w:val="18"/>
          <w:lang w:val="ru-RU"/>
        </w:rPr>
        <w:t xml:space="preserve"> с чем по требованию прокурора они могут быть привлечены к дисциплинарной ответственности.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835"/>
        <w:gridCol w:w="2693"/>
        <w:gridCol w:w="2268"/>
      </w:tblGrid>
      <w:tr>
        <w:trPr>
          <w:trHeight w:val="9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Соучредители: администрация Убинского сельсовета Убинского района Новосибирской области и  Совет депутатов Убинского сельсовета Убинского района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Председатель редакционного совета: Богданов А.С. – ведущий специалист администрации Убинского сельсовета Убинского района Новосибирской области</w:t>
            </w:r>
          </w:p>
          <w:p>
            <w:pPr>
              <w:ind w:left="-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Тел. 22-451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Распространяется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Тираж 70 экз.</w:t>
            </w:r>
          </w:p>
        </w:tc>
      </w:tr>
    </w:tbl>
    <w:p>
      <w:pPr>
        <w:rPr>
          <w:lang w:val="ru-RU"/>
        </w:rPr>
      </w:pPr>
    </w:p>
    <w:sectPr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89594"/>
      <w:docPartObj>
        <w:docPartGallery w:val="Page Numbers (Bottom of Page)"/>
        <w:docPartUnique/>
      </w:docPartObj>
    </w:sdtPr>
    <w:sdtContent>
      <w:p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rPr>
        <w:lang w:val="ru-RU"/>
      </w:rPr>
    </w:pPr>
    <w:r>
      <w:rPr>
        <w:rFonts w:ascii="Cambria" w:hAnsi="Cambria"/>
        <w:sz w:val="32"/>
        <w:szCs w:val="32"/>
        <w:lang w:val="ru-RU"/>
      </w:rPr>
      <w:t>Вести Убинского сельсовета                №10 (140) 05 апреля 2019 г</w:t>
    </w:r>
  </w:p>
  <w:p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VentoA8</dc:creator>
  <cp:keywords/>
  <dc:description/>
  <cp:lastModifiedBy>VentoA8</cp:lastModifiedBy>
  <cp:revision>2</cp:revision>
  <dcterms:created xsi:type="dcterms:W3CDTF">2019-04-05T07:11:00Z</dcterms:created>
  <dcterms:modified xsi:type="dcterms:W3CDTF">2019-04-05T07:27:00Z</dcterms:modified>
</cp:coreProperties>
</file>